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FA" w:rsidRPr="00B166FA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color w:val="FF0000"/>
          <w:sz w:val="32"/>
          <w:szCs w:val="32"/>
        </w:rPr>
      </w:pPr>
      <w:r w:rsidRPr="00B166FA">
        <w:rPr>
          <w:rFonts w:eastAsia="標楷體" w:hAnsi="細明體" w:hint="eastAsia"/>
          <w:color w:val="FF0000"/>
          <w:sz w:val="32"/>
          <w:szCs w:val="32"/>
        </w:rPr>
        <w:t>國立中央大學</w:t>
      </w:r>
    </w:p>
    <w:p w:rsidR="00B166FA" w:rsidRDefault="00B166FA" w:rsidP="00B166FA">
      <w:pPr>
        <w:widowControl/>
        <w:autoSpaceDE w:val="0"/>
        <w:autoSpaceDN w:val="0"/>
        <w:spacing w:line="380" w:lineRule="exact"/>
        <w:ind w:left="839" w:hanging="839"/>
        <w:jc w:val="center"/>
        <w:textAlignment w:val="bottom"/>
        <w:rPr>
          <w:rFonts w:eastAsia="標楷體" w:hAnsi="細明體"/>
          <w:color w:val="FF0000"/>
          <w:sz w:val="32"/>
          <w:szCs w:val="32"/>
        </w:rPr>
      </w:pPr>
      <w:r w:rsidRPr="00B166FA">
        <w:rPr>
          <w:rFonts w:eastAsia="標楷體" w:hAnsi="細明體" w:hint="eastAsia"/>
          <w:color w:val="FF0000"/>
          <w:sz w:val="32"/>
          <w:szCs w:val="32"/>
        </w:rPr>
        <w:t>財務金融學系碩士在職專班研究生修業辦法</w:t>
      </w:r>
    </w:p>
    <w:p w:rsidR="00511D35" w:rsidRPr="0069107A" w:rsidRDefault="00B166FA" w:rsidP="00511D35">
      <w:pPr>
        <w:spacing w:line="200" w:lineRule="exact"/>
        <w:ind w:firstLineChars="200" w:firstLine="640"/>
        <w:jc w:val="right"/>
        <w:rPr>
          <w:rFonts w:ascii="新細明體" w:eastAsia="新細明體" w:hAnsi="新細明體"/>
          <w:sz w:val="16"/>
          <w:szCs w:val="16"/>
        </w:rPr>
      </w:pPr>
      <w:r>
        <w:rPr>
          <w:rFonts w:eastAsia="標楷體" w:hAnsi="細明體" w:hint="eastAsia"/>
          <w:color w:val="FF0000"/>
          <w:sz w:val="32"/>
          <w:szCs w:val="32"/>
        </w:rPr>
        <w:t xml:space="preserve">                             </w:t>
      </w:r>
      <w:r w:rsidRPr="00B166FA">
        <w:rPr>
          <w:rFonts w:eastAsia="標楷體" w:hAnsi="細明體" w:hint="eastAsia"/>
          <w:color w:val="0000FF"/>
          <w:sz w:val="32"/>
          <w:szCs w:val="32"/>
        </w:rPr>
        <w:t xml:space="preserve"> </w:t>
      </w:r>
      <w:bookmarkStart w:id="0" w:name="OLE_LINK1"/>
      <w:bookmarkStart w:id="1" w:name="OLE_LINK2"/>
      <w:bookmarkStart w:id="2" w:name="OLE_LINK3"/>
      <w:r w:rsidR="00511D35" w:rsidRPr="0069107A">
        <w:rPr>
          <w:rFonts w:ascii="新細明體" w:eastAsia="新細明體" w:hAnsi="新細明體" w:hint="eastAsia"/>
          <w:sz w:val="16"/>
          <w:szCs w:val="16"/>
        </w:rPr>
        <w:t>105.04.20系務會議通過修訂</w:t>
      </w:r>
      <w:bookmarkEnd w:id="0"/>
      <w:bookmarkEnd w:id="1"/>
      <w:bookmarkEnd w:id="2"/>
    </w:p>
    <w:p w:rsidR="00511D35" w:rsidRDefault="00511D35" w:rsidP="00511D35">
      <w:pPr>
        <w:spacing w:line="200" w:lineRule="exact"/>
        <w:ind w:firstLineChars="200" w:firstLine="320"/>
        <w:jc w:val="right"/>
        <w:rPr>
          <w:rFonts w:ascii="新細明體" w:eastAsia="新細明體" w:hAnsi="新細明體"/>
          <w:sz w:val="16"/>
          <w:szCs w:val="16"/>
        </w:rPr>
      </w:pPr>
      <w:bookmarkStart w:id="3" w:name="OLE_LINK4"/>
      <w:bookmarkStart w:id="4" w:name="OLE_LINK5"/>
      <w:bookmarkStart w:id="5" w:name="OLE_LINK6"/>
      <w:r w:rsidRPr="0069107A">
        <w:rPr>
          <w:rFonts w:ascii="新細明體" w:eastAsia="新細明體" w:hAnsi="新細明體" w:hint="eastAsia"/>
          <w:sz w:val="16"/>
          <w:szCs w:val="16"/>
        </w:rPr>
        <w:t>105.05.17院課程會議通過修訂</w:t>
      </w:r>
      <w:bookmarkEnd w:id="3"/>
      <w:bookmarkEnd w:id="4"/>
      <w:bookmarkEnd w:id="5"/>
    </w:p>
    <w:p w:rsidR="00B166FA" w:rsidRPr="00B166FA" w:rsidRDefault="00511D35" w:rsidP="00511D35">
      <w:pPr>
        <w:widowControl/>
        <w:autoSpaceDE w:val="0"/>
        <w:autoSpaceDN w:val="0"/>
        <w:spacing w:line="200" w:lineRule="exact"/>
        <w:ind w:left="839" w:hanging="839"/>
        <w:jc w:val="right"/>
        <w:textAlignment w:val="bottom"/>
        <w:rPr>
          <w:rFonts w:eastAsia="標楷體" w:hAnsi="細明體"/>
          <w:color w:val="FF0000"/>
          <w:sz w:val="32"/>
          <w:szCs w:val="32"/>
        </w:rPr>
      </w:pPr>
      <w:r w:rsidRPr="001F6ADE">
        <w:rPr>
          <w:rFonts w:ascii="新細明體" w:eastAsia="新細明體" w:hAnsi="新細明體" w:hint="eastAsia"/>
          <w:sz w:val="16"/>
          <w:szCs w:val="16"/>
        </w:rPr>
        <w:t>105.06.15教務會議核備</w:t>
      </w:r>
    </w:p>
    <w:p w:rsidR="00B166FA" w:rsidRPr="00B166FA" w:rsidRDefault="00B166FA" w:rsidP="00B166FA">
      <w:pPr>
        <w:numPr>
          <w:ilvl w:val="0"/>
          <w:numId w:val="2"/>
        </w:numPr>
        <w:rPr>
          <w:rFonts w:ascii="標楷體" w:eastAsia="標楷體" w:hAnsi="標楷體"/>
          <w:color w:val="FF0000"/>
          <w:szCs w:val="24"/>
        </w:rPr>
      </w:pPr>
      <w:r w:rsidRPr="00B166FA">
        <w:rPr>
          <w:rFonts w:ascii="標楷體" w:eastAsia="標楷體" w:hAnsi="標楷體" w:hint="eastAsia"/>
          <w:color w:val="FF0000"/>
          <w:szCs w:val="24"/>
        </w:rPr>
        <w:t>本辦法依本校「學則」、「博士班、碩士班研究生學位考試細則」規定訂定之。</w:t>
      </w:r>
    </w:p>
    <w:p w:rsidR="00AA2DC3" w:rsidRPr="00B166FA" w:rsidRDefault="00B166FA" w:rsidP="00AA2DC3">
      <w:pPr>
        <w:adjustRightInd w:val="0"/>
        <w:snapToGrid w:val="0"/>
        <w:spacing w:line="500" w:lineRule="exact"/>
        <w:jc w:val="both"/>
        <w:textAlignment w:val="baseline"/>
        <w:rPr>
          <w:rFonts w:ascii="Times New Roman" w:eastAsia="標楷體" w:hAnsi="Times New Roman" w:cs="Times New Roman"/>
          <w:bCs/>
          <w:kern w:val="0"/>
          <w:szCs w:val="24"/>
        </w:rPr>
      </w:pPr>
      <w:r w:rsidRPr="00FE0914"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第二條</w:t>
      </w:r>
      <w:r w:rsidRPr="00B166FA">
        <w:rPr>
          <w:rFonts w:ascii="Times New Roman" w:eastAsia="標楷體" w:hAnsi="Times New Roman" w:cs="Times New Roman" w:hint="eastAsia"/>
          <w:kern w:val="0"/>
          <w:szCs w:val="24"/>
        </w:rPr>
        <w:t xml:space="preserve">  </w:t>
      </w:r>
      <w:r w:rsidR="00AA2DC3" w:rsidRPr="00B166FA">
        <w:rPr>
          <w:rFonts w:ascii="Times New Roman" w:eastAsia="標楷體" w:hAnsi="Times New Roman" w:cs="Times New Roman"/>
          <w:kern w:val="0"/>
          <w:szCs w:val="24"/>
        </w:rPr>
        <w:t>學生應修滿畢業學分</w:t>
      </w:r>
      <w:r w:rsidR="00AA2DC3" w:rsidRPr="00B166FA">
        <w:rPr>
          <w:rFonts w:ascii="Times New Roman" w:eastAsia="標楷體" w:hAnsi="Times New Roman" w:cs="Times New Roman"/>
          <w:kern w:val="0"/>
          <w:szCs w:val="24"/>
        </w:rPr>
        <w:t>40</w:t>
      </w:r>
      <w:r w:rsidR="00AA2DC3" w:rsidRPr="00B166FA">
        <w:rPr>
          <w:rFonts w:ascii="Times New Roman" w:eastAsia="標楷體" w:hAnsi="Times New Roman" w:cs="Times New Roman"/>
          <w:kern w:val="0"/>
          <w:szCs w:val="24"/>
        </w:rPr>
        <w:t>學分。</w:t>
      </w:r>
    </w:p>
    <w:p w:rsidR="00AA2DC3" w:rsidRPr="00B166FA" w:rsidRDefault="00B166FA" w:rsidP="00B166FA">
      <w:pPr>
        <w:adjustRightInd w:val="0"/>
        <w:snapToGrid w:val="0"/>
        <w:spacing w:line="500" w:lineRule="exact"/>
        <w:ind w:left="240" w:hangingChars="100" w:hanging="240"/>
        <w:rPr>
          <w:rFonts w:ascii="Times New Roman" w:eastAsia="標楷體" w:hAnsi="Times New Roman" w:cs="Times New Roman"/>
          <w:bCs/>
          <w:szCs w:val="24"/>
        </w:rPr>
      </w:pPr>
      <w:r w:rsidRPr="00FE0914">
        <w:rPr>
          <w:rFonts w:eastAsia="標楷體" w:hint="eastAsia"/>
          <w:color w:val="FF0000"/>
          <w:kern w:val="0"/>
          <w:szCs w:val="24"/>
        </w:rPr>
        <w:t>第三條</w:t>
      </w:r>
      <w:r w:rsidRPr="00B166FA">
        <w:rPr>
          <w:rFonts w:eastAsia="標楷體" w:hint="eastAsia"/>
          <w:kern w:val="0"/>
          <w:szCs w:val="24"/>
        </w:rPr>
        <w:t xml:space="preserve">  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畢業學分必修課程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15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學分、核心選修課程至少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10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學分。</w:t>
      </w:r>
    </w:p>
    <w:p w:rsidR="007A75AE" w:rsidRDefault="00B166FA" w:rsidP="00B166FA">
      <w:pPr>
        <w:adjustRightInd w:val="0"/>
        <w:snapToGrid w:val="0"/>
        <w:spacing w:line="500" w:lineRule="exact"/>
        <w:ind w:left="850" w:hangingChars="354" w:hanging="850"/>
        <w:rPr>
          <w:rFonts w:ascii="Times New Roman" w:eastAsia="標楷體" w:hAnsi="Times New Roman" w:cs="Times New Roman"/>
          <w:bCs/>
          <w:szCs w:val="24"/>
          <w:u w:val="single"/>
        </w:rPr>
      </w:pPr>
      <w:r w:rsidRPr="00FE0914">
        <w:rPr>
          <w:rFonts w:eastAsia="標楷體" w:hint="eastAsia"/>
          <w:color w:val="FF0000"/>
          <w:kern w:val="0"/>
          <w:szCs w:val="24"/>
        </w:rPr>
        <w:t>第四條</w:t>
      </w:r>
      <w:r w:rsidRPr="00B166FA">
        <w:rPr>
          <w:rFonts w:eastAsia="標楷體" w:hint="eastAsia"/>
          <w:kern w:val="0"/>
          <w:szCs w:val="24"/>
        </w:rPr>
        <w:t xml:space="preserve">  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學</w:t>
      </w:r>
      <w:r w:rsidRPr="00B166FA">
        <w:rPr>
          <w:rFonts w:ascii="Times New Roman" w:eastAsia="標楷體" w:hAnsi="Times New Roman" w:cs="Times New Roman" w:hint="eastAsia"/>
          <w:bCs/>
          <w:color w:val="FF0000"/>
          <w:szCs w:val="24"/>
        </w:rPr>
        <w:t>生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可視興趣選修管理學院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EMBA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及本系碩士班課程，選修</w:t>
      </w:r>
      <w:r w:rsidRPr="00B166FA">
        <w:rPr>
          <w:rFonts w:ascii="Times New Roman" w:eastAsia="標楷體" w:hAnsi="Times New Roman" w:cs="Times New Roman" w:hint="eastAsia"/>
          <w:bCs/>
          <w:color w:val="FF0000"/>
          <w:szCs w:val="24"/>
        </w:rPr>
        <w:t>以</w:t>
      </w:r>
      <w:r w:rsidR="00AA2DC3" w:rsidRPr="00B166FA">
        <w:rPr>
          <w:rFonts w:ascii="Times New Roman" w:eastAsia="標楷體" w:hAnsi="Times New Roman" w:cs="Times New Roman"/>
          <w:bCs/>
          <w:color w:val="000000"/>
          <w:szCs w:val="24"/>
        </w:rPr>
        <w:t>兩門課</w:t>
      </w:r>
      <w:r w:rsidR="00AA2DC3" w:rsidRPr="00B166FA">
        <w:rPr>
          <w:rFonts w:ascii="Times New Roman" w:eastAsia="標楷體" w:hAnsi="Times New Roman" w:cs="Times New Roman"/>
          <w:bCs/>
          <w:szCs w:val="24"/>
        </w:rPr>
        <w:t>為限</w:t>
      </w:r>
      <w:r w:rsidRPr="00B166FA">
        <w:rPr>
          <w:rFonts w:ascii="標楷體" w:eastAsia="標楷體" w:hAnsi="標楷體" w:hint="eastAsia"/>
          <w:bCs/>
          <w:szCs w:val="24"/>
          <w:u w:val="single"/>
        </w:rPr>
        <w:t>，</w:t>
      </w:r>
      <w:r w:rsidR="00AA2DC3" w:rsidRPr="00B166FA">
        <w:rPr>
          <w:rFonts w:ascii="Times New Roman" w:eastAsia="標楷體" w:hAnsi="Times New Roman" w:cs="Times New Roman"/>
          <w:bCs/>
          <w:szCs w:val="24"/>
          <w:u w:val="single"/>
        </w:rPr>
        <w:t>不包含</w:t>
      </w:r>
      <w:r w:rsidRPr="00B166FA">
        <w:rPr>
          <w:rFonts w:ascii="Times New Roman" w:eastAsia="標楷體" w:hAnsi="Times New Roman" w:cs="Times New Roman" w:hint="eastAsia"/>
          <w:bCs/>
          <w:szCs w:val="24"/>
          <w:u w:val="single"/>
        </w:rPr>
        <w:t xml:space="preserve"> </w:t>
      </w:r>
    </w:p>
    <w:p w:rsidR="00AA2DC3" w:rsidRPr="00B166FA" w:rsidRDefault="00AA2DC3" w:rsidP="007A75AE">
      <w:pPr>
        <w:adjustRightInd w:val="0"/>
        <w:snapToGrid w:val="0"/>
        <w:spacing w:line="500" w:lineRule="exact"/>
        <w:ind w:leftChars="350" w:left="840" w:firstLineChars="50" w:firstLine="120"/>
        <w:rPr>
          <w:rFonts w:ascii="Times New Roman" w:eastAsia="標楷體" w:hAnsi="Times New Roman" w:cs="Times New Roman"/>
          <w:bCs/>
          <w:szCs w:val="24"/>
          <w:u w:val="single"/>
        </w:rPr>
      </w:pPr>
      <w:r w:rsidRPr="00B166FA">
        <w:rPr>
          <w:rFonts w:ascii="Times New Roman" w:eastAsia="標楷體" w:hAnsi="Times New Roman" w:cs="Times New Roman"/>
          <w:bCs/>
          <w:szCs w:val="24"/>
          <w:u w:val="single"/>
        </w:rPr>
        <w:t>EMBA</w:t>
      </w:r>
      <w:r w:rsidRPr="00B166FA">
        <w:rPr>
          <w:rFonts w:ascii="Times New Roman" w:eastAsia="標楷體" w:hAnsi="Times New Roman" w:cs="Times New Roman"/>
          <w:bCs/>
          <w:szCs w:val="24"/>
          <w:u w:val="single"/>
        </w:rPr>
        <w:t>兩岸論壇</w:t>
      </w:r>
      <w:r w:rsidRPr="00B166FA">
        <w:rPr>
          <w:rFonts w:ascii="Times New Roman" w:eastAsia="標楷體" w:hAnsi="Times New Roman" w:cs="Times New Roman"/>
          <w:bCs/>
          <w:szCs w:val="24"/>
          <w:u w:val="single"/>
        </w:rPr>
        <w:t>1</w:t>
      </w:r>
      <w:r w:rsidRPr="00B166FA">
        <w:rPr>
          <w:rFonts w:ascii="Times New Roman" w:eastAsia="標楷體" w:hAnsi="Times New Roman" w:cs="Times New Roman"/>
          <w:bCs/>
          <w:szCs w:val="24"/>
          <w:u w:val="single"/>
        </w:rPr>
        <w:t>學分課程</w:t>
      </w:r>
      <w:r w:rsidR="00B166FA" w:rsidRPr="00B166FA">
        <w:rPr>
          <w:rFonts w:ascii="Times New Roman" w:eastAsia="標楷體" w:hAnsi="Times New Roman" w:cs="Times New Roman"/>
          <w:bCs/>
          <w:szCs w:val="24"/>
        </w:rPr>
        <w:t>。</w:t>
      </w:r>
    </w:p>
    <w:p w:rsidR="00B166FA" w:rsidRPr="00B166FA" w:rsidRDefault="00B166FA" w:rsidP="00B166FA">
      <w:pPr>
        <w:tabs>
          <w:tab w:val="left" w:pos="960"/>
        </w:tabs>
        <w:spacing w:beforeLines="50" w:before="180" w:line="240" w:lineRule="atLeast"/>
        <w:rPr>
          <w:rFonts w:ascii="標楷體" w:eastAsia="標楷體"/>
          <w:szCs w:val="24"/>
        </w:rPr>
      </w:pPr>
      <w:r w:rsidRPr="00FE0914">
        <w:rPr>
          <w:rFonts w:eastAsia="標楷體" w:hint="eastAsia"/>
          <w:color w:val="FF0000"/>
          <w:kern w:val="0"/>
          <w:szCs w:val="24"/>
        </w:rPr>
        <w:t>第</w:t>
      </w:r>
      <w:r w:rsidR="00051374" w:rsidRPr="00FE0914">
        <w:rPr>
          <w:rFonts w:eastAsia="標楷體" w:hint="eastAsia"/>
          <w:color w:val="FF0000"/>
          <w:kern w:val="0"/>
          <w:szCs w:val="24"/>
        </w:rPr>
        <w:t>五</w:t>
      </w:r>
      <w:r w:rsidRPr="00FE0914">
        <w:rPr>
          <w:rFonts w:eastAsia="標楷體" w:hint="eastAsia"/>
          <w:color w:val="FF0000"/>
          <w:kern w:val="0"/>
          <w:szCs w:val="24"/>
        </w:rPr>
        <w:t>條</w:t>
      </w:r>
      <w:r w:rsidRPr="00B166FA">
        <w:rPr>
          <w:rFonts w:eastAsia="標楷體" w:hint="eastAsia"/>
          <w:kern w:val="0"/>
          <w:szCs w:val="24"/>
        </w:rPr>
        <w:t xml:space="preserve">  </w:t>
      </w:r>
      <w:r w:rsidRPr="00FE0914">
        <w:rPr>
          <w:rFonts w:ascii="標楷體" w:eastAsia="標楷體" w:hint="eastAsia"/>
          <w:color w:val="FF0000"/>
          <w:szCs w:val="24"/>
        </w:rPr>
        <w:t>本辦法如有未盡事宜，依教育部及本校有關規定辦理。</w:t>
      </w:r>
    </w:p>
    <w:p w:rsidR="00AA2DC3" w:rsidRDefault="00B166FA" w:rsidP="00B166FA">
      <w:pPr>
        <w:adjustRightInd w:val="0"/>
        <w:snapToGrid w:val="0"/>
        <w:spacing w:line="500" w:lineRule="exact"/>
        <w:ind w:left="991" w:hangingChars="413" w:hanging="991"/>
        <w:rPr>
          <w:rFonts w:ascii="標楷體" w:eastAsia="標楷體" w:hAnsi="標楷體"/>
          <w:bCs/>
          <w:szCs w:val="24"/>
          <w:u w:val="single"/>
        </w:rPr>
      </w:pPr>
      <w:r w:rsidRPr="00FE0914">
        <w:rPr>
          <w:rFonts w:eastAsia="標楷體" w:hint="eastAsia"/>
          <w:color w:val="FF0000"/>
          <w:kern w:val="0"/>
          <w:szCs w:val="24"/>
        </w:rPr>
        <w:t>第</w:t>
      </w:r>
      <w:r w:rsidR="00051374" w:rsidRPr="00FE0914">
        <w:rPr>
          <w:rFonts w:eastAsia="標楷體" w:hint="eastAsia"/>
          <w:color w:val="FF0000"/>
          <w:kern w:val="0"/>
          <w:szCs w:val="24"/>
        </w:rPr>
        <w:t>六</w:t>
      </w:r>
      <w:r w:rsidRPr="00FE0914">
        <w:rPr>
          <w:rFonts w:eastAsia="標楷體" w:hint="eastAsia"/>
          <w:color w:val="FF0000"/>
          <w:kern w:val="0"/>
          <w:szCs w:val="24"/>
        </w:rPr>
        <w:t>條</w:t>
      </w:r>
      <w:r w:rsidRPr="00B166FA">
        <w:rPr>
          <w:rFonts w:eastAsia="標楷體" w:hint="eastAsia"/>
          <w:kern w:val="0"/>
          <w:szCs w:val="24"/>
        </w:rPr>
        <w:t xml:space="preserve">  </w:t>
      </w:r>
      <w:r w:rsidR="00AA2DC3" w:rsidRPr="00B166FA">
        <w:rPr>
          <w:rFonts w:ascii="標楷體" w:eastAsia="標楷體" w:hAnsi="標楷體" w:hint="eastAsia"/>
          <w:bCs/>
          <w:szCs w:val="24"/>
          <w:u w:val="single"/>
        </w:rPr>
        <w:t>本</w:t>
      </w:r>
      <w:r w:rsidRPr="00FE0914">
        <w:rPr>
          <w:rFonts w:ascii="標楷體" w:eastAsia="標楷體" w:hAnsi="標楷體" w:hint="eastAsia"/>
          <w:bCs/>
          <w:color w:val="FF0000"/>
          <w:szCs w:val="24"/>
          <w:u w:val="single"/>
        </w:rPr>
        <w:t>辦法</w:t>
      </w:r>
      <w:r w:rsidR="00AA2DC3" w:rsidRPr="00B166FA">
        <w:rPr>
          <w:rFonts w:ascii="標楷體" w:eastAsia="標楷體" w:hAnsi="標楷體" w:hint="eastAsia"/>
          <w:bCs/>
          <w:szCs w:val="24"/>
          <w:u w:val="single"/>
        </w:rPr>
        <w:t>經</w:t>
      </w:r>
      <w:r w:rsidR="00AA2DC3" w:rsidRPr="00B166FA">
        <w:rPr>
          <w:rFonts w:ascii="標楷體" w:eastAsia="標楷體" w:hAnsi="標楷體" w:hint="eastAsia"/>
          <w:szCs w:val="24"/>
          <w:u w:val="single"/>
        </w:rPr>
        <w:t>系</w:t>
      </w:r>
      <w:r w:rsidR="007A75AE">
        <w:rPr>
          <w:rFonts w:ascii="標楷體" w:eastAsia="標楷體" w:hAnsi="標楷體" w:hint="eastAsia"/>
          <w:bCs/>
          <w:szCs w:val="24"/>
          <w:u w:val="single"/>
        </w:rPr>
        <w:t>務會議及院課程委員會審議通過，送教務會議核備後實施，修正時亦同。</w:t>
      </w:r>
    </w:p>
    <w:p w:rsidR="00AA2DC3" w:rsidRPr="00B166FA" w:rsidRDefault="00AA2DC3" w:rsidP="00AA2DC3">
      <w:pPr>
        <w:widowControl/>
        <w:autoSpaceDE w:val="0"/>
        <w:autoSpaceDN w:val="0"/>
        <w:adjustRightInd w:val="0"/>
        <w:snapToGrid w:val="0"/>
        <w:spacing w:line="500" w:lineRule="exact"/>
        <w:ind w:left="840" w:hanging="840"/>
        <w:textAlignment w:val="bottom"/>
        <w:rPr>
          <w:rFonts w:ascii="標楷體" w:eastAsia="標楷體" w:hAnsi="標楷體" w:cs="Times New Roman"/>
          <w:b/>
          <w:szCs w:val="24"/>
        </w:rPr>
      </w:pPr>
      <w:bookmarkStart w:id="6" w:name="_GoBack"/>
      <w:bookmarkEnd w:id="6"/>
      <w:r w:rsidRPr="00B166FA">
        <w:rPr>
          <w:rFonts w:ascii="標楷體" w:eastAsia="標楷體" w:hAnsi="標楷體" w:cs="Times New Roman" w:hint="eastAsia"/>
          <w:b/>
          <w:kern w:val="0"/>
          <w:szCs w:val="24"/>
        </w:rPr>
        <w:t>※必選修課程規劃表</w:t>
      </w:r>
    </w:p>
    <w:tbl>
      <w:tblPr>
        <w:tblW w:w="969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1"/>
        <w:gridCol w:w="1076"/>
        <w:gridCol w:w="2424"/>
        <w:gridCol w:w="1979"/>
      </w:tblGrid>
      <w:tr w:rsidR="00AA2DC3" w:rsidRPr="003934F9" w:rsidTr="00B0425A">
        <w:trPr>
          <w:trHeight w:val="20"/>
          <w:jc w:val="center"/>
        </w:trPr>
        <w:tc>
          <w:tcPr>
            <w:tcW w:w="969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必修課程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(15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財務管理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證券市場與投資分析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期貨與選擇權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研究方法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I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論文研究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II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9697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核心課程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(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至少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10</w:t>
            </w: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</w:t>
            </w:r>
            <w:r w:rsidRPr="00AD4C6A">
              <w:rPr>
                <w:rFonts w:ascii="細明體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管理與會計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kern w:val="0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管理經濟學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財務報表分析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公司治理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兩岸金融研討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(</w:t>
            </w: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海外研習</w:t>
            </w: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金融機構與風險管理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國際財務管理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金融創新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9697" w:type="dxa"/>
            <w:gridSpan w:val="4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AD4C6A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AD4C6A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ㄧ般選修課程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課程名稱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學分數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授課年級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b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b/>
                <w:kern w:val="0"/>
                <w:szCs w:val="24"/>
              </w:rPr>
              <w:t>備註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金融服務業</w:t>
            </w: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CEO</w:t>
            </w: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之經驗傳承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入學前</w:t>
            </w: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5-7</w:t>
            </w: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月上課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區域金融專題講座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入學前</w:t>
            </w: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7-9</w:t>
            </w: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月上課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研訓院上課</w:t>
            </w: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統計分析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0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第一年暑假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金融行銷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一下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行為財務學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kern w:val="0"/>
                <w:szCs w:val="24"/>
              </w:rPr>
              <w:t>第二年暑假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  <w:tr w:rsidR="00AA2DC3" w:rsidRPr="003934F9" w:rsidTr="00B0425A">
        <w:trPr>
          <w:trHeight w:val="65"/>
          <w:jc w:val="center"/>
        </w:trPr>
        <w:tc>
          <w:tcPr>
            <w:tcW w:w="421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財務金融個案研究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color w:val="000000"/>
                <w:szCs w:val="24"/>
              </w:rPr>
            </w:pPr>
            <w:r w:rsidRPr="003934F9">
              <w:rPr>
                <w:rFonts w:ascii="細明體" w:eastAsia="標楷體" w:hAnsi="標楷體" w:cs="Times New Roman" w:hint="eastAsia"/>
                <w:color w:val="000000"/>
                <w:kern w:val="0"/>
                <w:szCs w:val="24"/>
              </w:rPr>
              <w:t>二上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2DC3" w:rsidRPr="003934F9" w:rsidRDefault="00AA2DC3" w:rsidP="00B0425A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細明體" w:eastAsia="標楷體" w:hAnsi="Times New Roman" w:cs="Times New Roman"/>
                <w:szCs w:val="24"/>
              </w:rPr>
            </w:pPr>
          </w:p>
        </w:tc>
      </w:tr>
    </w:tbl>
    <w:p w:rsidR="00CA6B0F" w:rsidRPr="00AA2DC3" w:rsidRDefault="00CA6B0F" w:rsidP="007A75AE"/>
    <w:sectPr w:rsidR="00CA6B0F" w:rsidRPr="00AA2DC3" w:rsidSect="007A75AE">
      <w:pgSz w:w="11906" w:h="16838"/>
      <w:pgMar w:top="1134" w:right="992" w:bottom="1134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8F" w:rsidRDefault="003A188F" w:rsidP="00AD4C6A">
      <w:r>
        <w:separator/>
      </w:r>
    </w:p>
  </w:endnote>
  <w:endnote w:type="continuationSeparator" w:id="0">
    <w:p w:rsidR="003A188F" w:rsidRDefault="003A188F" w:rsidP="00AD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8F" w:rsidRDefault="003A188F" w:rsidP="00AD4C6A">
      <w:r>
        <w:separator/>
      </w:r>
    </w:p>
  </w:footnote>
  <w:footnote w:type="continuationSeparator" w:id="0">
    <w:p w:rsidR="003A188F" w:rsidRDefault="003A188F" w:rsidP="00AD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C07D0"/>
    <w:multiLevelType w:val="hybridMultilevel"/>
    <w:tmpl w:val="C3FC5042"/>
    <w:lvl w:ilvl="0" w:tplc="49A46B16">
      <w:start w:val="1"/>
      <w:numFmt w:val="taiwaneseCountingThousand"/>
      <w:lvlText w:val="第%1條"/>
      <w:lvlJc w:val="left"/>
      <w:pPr>
        <w:tabs>
          <w:tab w:val="num" w:pos="645"/>
        </w:tabs>
        <w:ind w:left="645" w:hanging="645"/>
      </w:pPr>
      <w:rPr>
        <w:rFonts w:eastAsia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D803B2"/>
    <w:multiLevelType w:val="hybridMultilevel"/>
    <w:tmpl w:val="D8B8AD22"/>
    <w:lvl w:ilvl="0" w:tplc="BA5872E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63"/>
    <w:rsid w:val="00051374"/>
    <w:rsid w:val="003A188F"/>
    <w:rsid w:val="00511D35"/>
    <w:rsid w:val="006C4BA7"/>
    <w:rsid w:val="007A75AE"/>
    <w:rsid w:val="00810F75"/>
    <w:rsid w:val="00960663"/>
    <w:rsid w:val="00AA2DC3"/>
    <w:rsid w:val="00AD4C6A"/>
    <w:rsid w:val="00B166FA"/>
    <w:rsid w:val="00B538CD"/>
    <w:rsid w:val="00CA6B0F"/>
    <w:rsid w:val="00D118A4"/>
    <w:rsid w:val="00FE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D71E7-C9A0-4BB4-B794-BF07D071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內文+4"/>
    <w:basedOn w:val="a"/>
    <w:next w:val="a"/>
    <w:uiPriority w:val="99"/>
    <w:rsid w:val="00960663"/>
    <w:pPr>
      <w:autoSpaceDE w:val="0"/>
      <w:autoSpaceDN w:val="0"/>
      <w:adjustRightInd w:val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Default">
    <w:name w:val="Default"/>
    <w:rsid w:val="0096066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4C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4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4C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2016-05-27T03:07:00Z</cp:lastPrinted>
  <dcterms:created xsi:type="dcterms:W3CDTF">2016-06-08T00:29:00Z</dcterms:created>
  <dcterms:modified xsi:type="dcterms:W3CDTF">2016-06-08T00:29:00Z</dcterms:modified>
</cp:coreProperties>
</file>